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125"/>
        <w:gridCol w:w="1700"/>
        <w:gridCol w:w="867"/>
        <w:gridCol w:w="967"/>
        <w:gridCol w:w="1250"/>
        <w:gridCol w:w="1416"/>
        <w:gridCol w:w="1017"/>
        <w:gridCol w:w="9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2023年特种加固材料集中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采购预算清单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项目名称：2023年特种加固材料集中采购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暂估量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材料单价（元）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预计材料总价（元）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供货时间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碳纤维浸渍胶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结构灌注胶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建筑结构胶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混凝土修补胶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封边胶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低粘度灌缝胶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公斤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注射式植筋胶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400ml/支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水泥基灌浆料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A50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A60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聚合物砂浆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高性能复合砂浆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高性能复合砂浆外加剂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无收缩自流密实砼外加剂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超高性能混凝土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高延性混凝土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I级300g碳布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平方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注：材料采购含材料采购价格含材料费用、运输费、13%的增值税税金及供应商提供相应服务的差旅费、服务费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17" w:right="1134" w:bottom="141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kN2VjZjlhMTllNTYzNjdkYjFmNTIyODEyOTI4NmUifQ=="/>
  </w:docVars>
  <w:rsids>
    <w:rsidRoot w:val="10504097"/>
    <w:rsid w:val="061667F1"/>
    <w:rsid w:val="10504097"/>
    <w:rsid w:val="3119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2023-02-08T05:51:00Z</dcterms:created>
  <dc:creator>administrator</dc:creator>
  <cp:lastModifiedBy>administrator</cp:lastModifiedBy>
  <dcterms:modified xsi:type="dcterms:W3CDTF">2023-02-08T05:54:54Z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F9B016A7F030453881CE09E2491EC360</vt:lpwstr>
  </property>
</Properties>
</file>